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Reading II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Read pages 121-130.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i w:val="1"/>
          <w:rtl w:val="0"/>
        </w:rPr>
        <w:t xml:space="preserve">Take notes in your book that will help you answer the following questions.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1.  What group does Jesika Hendricks work with?  What do they do?  (pg. 121)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2.  Why did the Hendricks family go north?  (pg. 122-123)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3.  How did the camping community change when the food started to run out?  (pg. 127)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4.  What meat did the people eat to survive?  (Where did it come from?)  How do you know?  (pg. 128-129)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Reading II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Read pages 121-130.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Take notes in your book that will help you answer the following questions.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1.  What group does Jesika Hendricks work with?  What do they do?  (pg. 121)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2.  Why did the Hendricks family go north?  (pg. 122-123)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3.  How did the camping community change when the food started to run out?  (pg. 127)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4.  What meat did the people eat to survive?  (Where did it come from?)  How do you know?  (128-129)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Reading II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Read pages 121-130.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Take notes in your book that will help you answer the following questions.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1.  What group does Jesika Hendricks work with?  What do they do?  (pg. 121)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2.  Why did the Hendricks family go north?  (pg. 122-123)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3.  How did the camping community change when the food started to run out?  (pg. 127)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4.  What meat did the people eat to survive?  (Where did it come from?)  How do you know?  (128-129)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121-130 Guided reading.docx</dc:title>
</cp:coreProperties>
</file>